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FF62BD8" w:rsidR="00C15348" w:rsidRPr="0099312A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9312A" w:rsidRPr="001E4C8F">
        <w:rPr>
          <w:rFonts w:ascii="Lidl Font Pro" w:hAnsi="Lidl Font Pro" w:cs="Helv"/>
          <w:color w:val="auto"/>
          <w:sz w:val="22"/>
          <w:szCs w:val="22"/>
          <w:lang w:val="el-GR"/>
        </w:rPr>
        <w:t>17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9312A" w:rsidRPr="001E4C8F">
        <w:rPr>
          <w:rFonts w:ascii="Lidl Font Pro" w:hAnsi="Lidl Font Pro" w:cs="Helv"/>
          <w:color w:val="auto"/>
          <w:sz w:val="22"/>
          <w:szCs w:val="22"/>
          <w:lang w:val="el-GR"/>
        </w:rPr>
        <w:t>10</w:t>
      </w:r>
      <w:r w:rsidR="00830899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99312A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3DBD0FB" w:rsidR="00DC6DB4" w:rsidRPr="0099312A" w:rsidRDefault="001E4C8F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</w:rPr>
        <w:t>H</w:t>
      </w:r>
      <w:r w:rsidRPr="001E4C8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διακρίνεται με 23 βραβεία στα 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</w:rPr>
        <w:t>Supermarket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</w:rPr>
        <w:t>Awards</w:t>
      </w:r>
      <w:r w:rsidR="0099312A" w:rsidRPr="0099312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2025</w:t>
      </w:r>
    </w:p>
    <w:bookmarkEnd w:id="0"/>
    <w:bookmarkEnd w:id="1"/>
    <w:p w14:paraId="3D908E8D" w14:textId="7DAC2350" w:rsidR="0088129F" w:rsidRDefault="0088129F" w:rsidP="001E4C8F">
      <w:pPr>
        <w:spacing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88129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 εταιρεία ξεχωρίζει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στον θεσμό</w:t>
      </w:r>
      <w:r w:rsidRPr="0088129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την προσφορά αξίας στους πελάτες και την ελληνική κοινωνία.</w:t>
      </w:r>
    </w:p>
    <w:p w14:paraId="37264E76" w14:textId="39C7B5A7" w:rsidR="001E4C8F" w:rsidRPr="001E4C8F" w:rsidRDefault="001E4C8F" w:rsidP="001E4C8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4C8F">
        <w:rPr>
          <w:rFonts w:ascii="Lidl Font Pro" w:hAnsi="Lidl Font Pro"/>
          <w:color w:val="000000" w:themeColor="text1"/>
          <w:lang w:val="el-GR"/>
        </w:rPr>
        <w:t xml:space="preserve">Η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αναδείχθηκε σε έναν από τους μεγάλους νικητές των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Supermarket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Awards 2025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, αποσπώντας συνολικά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>23 βραβεία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–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6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, 8 Silver και 8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Bronze</w:t>
      </w:r>
      <w:proofErr w:type="spellEnd"/>
      <w:r w:rsidRPr="001E4C8F">
        <w:rPr>
          <w:rFonts w:ascii="Lidl Font Pro" w:hAnsi="Lidl Font Pro"/>
          <w:color w:val="000000" w:themeColor="text1"/>
          <w:lang w:val="el-GR"/>
        </w:rPr>
        <w:t xml:space="preserve">, καθώς και την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>ειδική διάκριση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"Top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Rated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Project"</w:t>
      </w:r>
      <w:r w:rsidRPr="001E4C8F">
        <w:rPr>
          <w:rFonts w:ascii="Lidl Font Pro" w:hAnsi="Lidl Font Pro"/>
          <w:color w:val="000000" w:themeColor="text1"/>
          <w:lang w:val="el-GR"/>
        </w:rPr>
        <w:t>. Η πολυδιάστατη αυτή επιτυχία επιβεβαιώνει τη δέσμευση της εταιρείας στην καινοτομία, την ποιότητα και τη βιώσιμη ανάπτυξη.</w:t>
      </w:r>
    </w:p>
    <w:p w14:paraId="25B371D2" w14:textId="77A14532" w:rsidR="00C14E9C" w:rsidRDefault="001E4C8F" w:rsidP="001E4C8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4C8F">
        <w:rPr>
          <w:rFonts w:ascii="Lidl Font Pro" w:hAnsi="Lidl Font Pro"/>
          <w:color w:val="000000" w:themeColor="text1"/>
          <w:lang w:val="el-GR"/>
        </w:rPr>
        <w:t xml:space="preserve">Η ξεχωριστή διάκριση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"Top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Rated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Project"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απονεμήθηκε στη Lidl Ελλάς για την κατηγορία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>"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Big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Data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&amp; Marketing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Analytics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"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, 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για την υλοποίηση ενός πρωτοποριακού </w:t>
      </w:r>
      <w:r w:rsidR="00936A0E" w:rsidRPr="00936A0E">
        <w:rPr>
          <w:rFonts w:ascii="Lidl Font Pro" w:hAnsi="Lidl Font Pro"/>
          <w:color w:val="000000" w:themeColor="text1"/>
        </w:rPr>
        <w:t>Media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color w:val="000000" w:themeColor="text1"/>
        </w:rPr>
        <w:t>Mix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color w:val="000000" w:themeColor="text1"/>
        </w:rPr>
        <w:t>Modeling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(</w:t>
      </w:r>
      <w:r w:rsidR="00936A0E" w:rsidRPr="00936A0E">
        <w:rPr>
          <w:rFonts w:ascii="Lidl Font Pro" w:hAnsi="Lidl Font Pro"/>
          <w:color w:val="000000" w:themeColor="text1"/>
        </w:rPr>
        <w:t>MMM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) το 2024. Με αξιοποίηση ιστορικών δεδομένων, προηγμένα </w:t>
      </w:r>
      <w:proofErr w:type="spellStart"/>
      <w:r w:rsidR="00936A0E" w:rsidRPr="00936A0E">
        <w:rPr>
          <w:rFonts w:ascii="Lidl Font Pro" w:hAnsi="Lidl Font Pro"/>
          <w:color w:val="000000" w:themeColor="text1"/>
        </w:rPr>
        <w:t>analytics</w:t>
      </w:r>
      <w:proofErr w:type="spellEnd"/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και αυτοματοποιημένα </w:t>
      </w:r>
      <w:proofErr w:type="spellStart"/>
      <w:r w:rsidR="00936A0E" w:rsidRPr="00936A0E">
        <w:rPr>
          <w:rFonts w:ascii="Lidl Font Pro" w:hAnsi="Lidl Font Pro"/>
          <w:color w:val="000000" w:themeColor="text1"/>
        </w:rPr>
        <w:t>dashboards</w:t>
      </w:r>
      <w:proofErr w:type="spellEnd"/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, η εταιρεία βελτιστοποίησε τις επενδύσεις στα μέσα και ενίσχυσε τη στρατηγική </w:t>
      </w:r>
      <w:proofErr w:type="spellStart"/>
      <w:r w:rsidR="00936A0E" w:rsidRPr="00936A0E">
        <w:rPr>
          <w:rFonts w:ascii="Lidl Font Pro" w:hAnsi="Lidl Font Pro"/>
          <w:color w:val="000000" w:themeColor="text1"/>
        </w:rPr>
        <w:t>marketing</w:t>
      </w:r>
      <w:proofErr w:type="spellEnd"/>
      <w:r w:rsidR="00936A0E" w:rsidRPr="00936A0E">
        <w:rPr>
          <w:rFonts w:ascii="Lidl Font Pro" w:hAnsi="Lidl Font Pro"/>
          <w:color w:val="000000" w:themeColor="text1"/>
          <w:lang w:val="el-GR"/>
        </w:rPr>
        <w:t>, θέτοντας νέα πρότυπα στον κλάδο του λιανικού εμπορίου</w:t>
      </w:r>
      <w:r w:rsidR="00C14E9C" w:rsidRPr="00C14E9C">
        <w:rPr>
          <w:rFonts w:ascii="Lidl Font Pro" w:hAnsi="Lidl Font Pro"/>
          <w:color w:val="000000" w:themeColor="text1"/>
          <w:lang w:val="el-GR"/>
        </w:rPr>
        <w:t>.</w:t>
      </w:r>
    </w:p>
    <w:p w14:paraId="40C2DDD6" w14:textId="15751C8B" w:rsidR="001E4C8F" w:rsidRPr="001E4C8F" w:rsidRDefault="001E4C8F" w:rsidP="001E4C8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4C8F">
        <w:rPr>
          <w:rFonts w:ascii="Lidl Font Pro" w:hAnsi="Lidl Font Pro"/>
          <w:color w:val="000000" w:themeColor="text1"/>
          <w:lang w:val="el-GR"/>
        </w:rPr>
        <w:t xml:space="preserve">«Η φετινή μας διάκριση με 23 συνολικά βραβεία και η αναγνώρισή μας με το Top </w:t>
      </w:r>
      <w:proofErr w:type="spellStart"/>
      <w:r w:rsidRPr="001E4C8F">
        <w:rPr>
          <w:rFonts w:ascii="Lidl Font Pro" w:hAnsi="Lidl Font Pro"/>
          <w:color w:val="000000" w:themeColor="text1"/>
          <w:lang w:val="el-GR"/>
        </w:rPr>
        <w:t>Rated</w:t>
      </w:r>
      <w:proofErr w:type="spellEnd"/>
      <w:r w:rsidRPr="001E4C8F">
        <w:rPr>
          <w:rFonts w:ascii="Lidl Font Pro" w:hAnsi="Lidl Font Pro"/>
          <w:color w:val="000000" w:themeColor="text1"/>
          <w:lang w:val="el-GR"/>
        </w:rPr>
        <w:t xml:space="preserve"> Project, αποτελεί μια ακόμη επιβεβαίωση της στρατηγικής μας να επενδύουμε με συνέπεια στην καινοτομία, στους ανθρώπους μας και στην κοινωνία. Είμαστε περήφανοι που με πάθος και αφοσίωση συνεχίζ</w:t>
      </w:r>
      <w:r w:rsidR="007F1AFE">
        <w:rPr>
          <w:rFonts w:ascii="Lidl Font Pro" w:hAnsi="Lidl Font Pro"/>
          <w:color w:val="000000" w:themeColor="text1"/>
          <w:lang w:val="el-GR"/>
        </w:rPr>
        <w:t>ουμε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να </w:t>
      </w:r>
      <w:r w:rsidR="007F1AFE">
        <w:rPr>
          <w:rFonts w:ascii="Lidl Font Pro" w:hAnsi="Lidl Font Pro"/>
          <w:color w:val="000000" w:themeColor="text1"/>
          <w:lang w:val="el-GR"/>
        </w:rPr>
        <w:t>δημιουργούμε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αξία στους πελάτες μας και να συμβάλλ</w:t>
      </w:r>
      <w:r w:rsidR="007F1AFE">
        <w:rPr>
          <w:rFonts w:ascii="Lidl Font Pro" w:hAnsi="Lidl Font Pro"/>
          <w:color w:val="000000" w:themeColor="text1"/>
          <w:lang w:val="el-GR"/>
        </w:rPr>
        <w:t>ουμε</w:t>
      </w:r>
      <w:r w:rsidRPr="001E4C8F">
        <w:rPr>
          <w:rFonts w:ascii="Lidl Font Pro" w:hAnsi="Lidl Font Pro"/>
          <w:color w:val="000000" w:themeColor="text1"/>
          <w:lang w:val="el-GR"/>
        </w:rPr>
        <w:t xml:space="preserve"> στη βιώσιμη ανάπτυξη της χώρας μας», δήλωσε ο </w:t>
      </w:r>
      <w:r w:rsidRPr="001E4C8F">
        <w:rPr>
          <w:rFonts w:ascii="Lidl Font Pro" w:hAnsi="Lidl Font Pro"/>
          <w:b/>
          <w:bCs/>
          <w:color w:val="000000" w:themeColor="text1"/>
          <w:lang w:val="el-GR"/>
        </w:rPr>
        <w:t>Martin Brandenburger, CEO και Πρόεδρος Διοίκησης της Lidl Ελλάς</w:t>
      </w:r>
      <w:r w:rsidRPr="001E4C8F">
        <w:rPr>
          <w:rFonts w:ascii="Lidl Font Pro" w:hAnsi="Lidl Font Pro"/>
          <w:color w:val="000000" w:themeColor="text1"/>
          <w:lang w:val="el-GR"/>
        </w:rPr>
        <w:t>.</w:t>
      </w:r>
    </w:p>
    <w:p w14:paraId="18B51779" w14:textId="095EC927" w:rsidR="0099312A" w:rsidRPr="001E4C8F" w:rsidRDefault="0099312A" w:rsidP="0099312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Αναλυτικά οι </w:t>
      </w:r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πολλαπλές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Gold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διακρίσεις της Lidl Ελλάς:</w:t>
      </w:r>
    </w:p>
    <w:p w14:paraId="6CEF8F6B" w14:textId="7964D39E" w:rsidR="001E4C8F" w:rsidRPr="001E4C8F" w:rsidRDefault="0099312A" w:rsidP="00765C4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Self-Checkout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– Ταμεία αυτοεξυπηρέτησης</w:t>
      </w:r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Η υιοθέτηση των ταμείων αυτοεξυπηρέτησης στα καταστήματα της </w:t>
      </w:r>
      <w:r w:rsidR="001E4C8F" w:rsidRPr="001E4C8F">
        <w:rPr>
          <w:rFonts w:ascii="Lidl Font Pro" w:hAnsi="Lidl Font Pro"/>
          <w:color w:val="000000" w:themeColor="text1"/>
        </w:rPr>
        <w:t>Lidl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 Ελλάς αναγνωρίστηκε στην </w:t>
      </w:r>
      <w:r w:rsidR="001E4C8F" w:rsidRPr="00C14E9C">
        <w:rPr>
          <w:rFonts w:ascii="Lidl Font Pro" w:hAnsi="Lidl Font Pro"/>
          <w:b/>
          <w:bCs/>
          <w:color w:val="000000" w:themeColor="text1"/>
          <w:lang w:val="el-GR"/>
        </w:rPr>
        <w:t xml:space="preserve">κατηγορία 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="001E4C8F" w:rsidRPr="00C14E9C">
        <w:rPr>
          <w:rFonts w:ascii="Lidl Font Pro" w:hAnsi="Lidl Font Pro"/>
          <w:b/>
          <w:bCs/>
          <w:color w:val="000000" w:themeColor="text1"/>
          <w:lang w:val="el-GR"/>
        </w:rPr>
        <w:t>Πρότυπο Κατάστημα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1E4C8F" w:rsidRPr="001E4C8F">
        <w:rPr>
          <w:rFonts w:ascii="Lidl Font Pro" w:hAnsi="Lidl Font Pro"/>
          <w:color w:val="000000" w:themeColor="text1"/>
          <w:lang w:val="el-GR"/>
        </w:rPr>
        <w:t>. Η συγκεκριμένη καινοτομία προσφέρει στους πελάτες ταχύτητα, ευκολία και ευελιξία, βελτιώνοντας σημαντικά την εμπειρία αγορών τους.</w:t>
      </w:r>
    </w:p>
    <w:p w14:paraId="63FD2D53" w14:textId="24D4BDA5" w:rsidR="0099312A" w:rsidRPr="001E4C8F" w:rsidRDefault="0099312A" w:rsidP="00765C4E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1E4C8F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>Συνεργασία με τοπικούς παραγωγούς φρούτων και λαχανικών</w:t>
      </w:r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Η </w:t>
      </w:r>
      <w:r w:rsidR="00C14E9C" w:rsidRPr="00C14E9C">
        <w:rPr>
          <w:rFonts w:ascii="Lidl Font Pro" w:hAnsi="Lidl Font Pro"/>
          <w:color w:val="000000" w:themeColor="text1"/>
        </w:rPr>
        <w:t>Lidl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 Ελλάς ξεχωρίζει για το ισχυρό δίκτυο συνεργασιών της με Έλληνες παραγωγούς φρούτων και λαχανικών, το οποίο αναδείχθηκε στην </w:t>
      </w:r>
      <w:r w:rsidR="00C14E9C" w:rsidRPr="00C14E9C">
        <w:rPr>
          <w:rFonts w:ascii="Lidl Font Pro" w:hAnsi="Lidl Font Pro"/>
          <w:b/>
          <w:bCs/>
          <w:color w:val="000000" w:themeColor="text1"/>
          <w:lang w:val="el-GR"/>
        </w:rPr>
        <w:t>κατηγορία «Συνεργασία με Τοπικούς Παραγωγούς»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. Μέσα από σχέσεις εμπιστοσύνης που καλλιεργούνται σταθερά, η εταιρεία στηρίζει περισσότερους από 1.000 παραγωγούς σε όλη τη χώρα, ενισχύοντας τη βιώσιμη γεωργία, προωθώντας τις εξαγωγές και συμβάλλοντας ενεργά στην επίτευξη των Στόχων Βιώσιμης Ανάπτυξης. </w:t>
      </w:r>
    </w:p>
    <w:p w14:paraId="3C2C73BF" w14:textId="3873788D" w:rsidR="0099312A" w:rsidRPr="001E4C8F" w:rsidRDefault="0099312A" w:rsidP="0099312A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Bake</w:t>
      </w:r>
      <w:proofErr w:type="spellEnd"/>
      <w:r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1E4C8F">
        <w:rPr>
          <w:rFonts w:ascii="Lidl Font Pro" w:hAnsi="Lidl Font Pro"/>
          <w:b/>
          <w:bCs/>
          <w:color w:val="000000" w:themeColor="text1"/>
          <w:lang w:val="el-GR"/>
        </w:rPr>
        <w:t>Off</w:t>
      </w:r>
      <w:proofErr w:type="spellEnd"/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: </w:t>
      </w:r>
      <w:r w:rsidR="00C14E9C">
        <w:rPr>
          <w:rFonts w:ascii="Lidl Font Pro" w:hAnsi="Lidl Font Pro"/>
          <w:color w:val="000000" w:themeColor="text1"/>
          <w:lang w:val="en-US"/>
        </w:rPr>
        <w:t>To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 </w:t>
      </w:r>
      <w:r w:rsidR="001E4C8F" w:rsidRPr="001E4C8F">
        <w:rPr>
          <w:rFonts w:ascii="Lidl Font Pro" w:hAnsi="Lidl Font Pro"/>
          <w:b/>
          <w:bCs/>
          <w:color w:val="000000" w:themeColor="text1"/>
        </w:rPr>
        <w:t>Bake</w:t>
      </w:r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1E4C8F" w:rsidRPr="001E4C8F">
        <w:rPr>
          <w:rFonts w:ascii="Lidl Font Pro" w:hAnsi="Lidl Font Pro"/>
          <w:b/>
          <w:bCs/>
          <w:color w:val="000000" w:themeColor="text1"/>
        </w:rPr>
        <w:t>Off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 </w:t>
      </w:r>
      <w:r w:rsidR="00C14E9C">
        <w:rPr>
          <w:rFonts w:ascii="Lidl Font Pro" w:hAnsi="Lidl Font Pro"/>
          <w:color w:val="000000" w:themeColor="text1"/>
          <w:lang w:val="el-GR"/>
        </w:rPr>
        <w:t xml:space="preserve">της εταιρείας, 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ένα </w:t>
      </w:r>
      <w:proofErr w:type="spellStart"/>
      <w:r w:rsidR="00C14E9C" w:rsidRPr="00C14E9C">
        <w:rPr>
          <w:rFonts w:ascii="Lidl Font Pro" w:hAnsi="Lidl Font Pro"/>
          <w:color w:val="000000" w:themeColor="text1"/>
        </w:rPr>
        <w:t>project</w:t>
      </w:r>
      <w:proofErr w:type="spellEnd"/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 υψηλών προδιαγραφών</w:t>
      </w:r>
      <w:r w:rsidR="00C14E9C">
        <w:rPr>
          <w:rFonts w:ascii="Lidl Font Pro" w:hAnsi="Lidl Font Pro"/>
          <w:color w:val="000000" w:themeColor="text1"/>
          <w:lang w:val="el-GR"/>
        </w:rPr>
        <w:t xml:space="preserve">, 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τιμήθηκε στην </w:t>
      </w:r>
      <w:r w:rsidR="001E4C8F" w:rsidRPr="0088129F">
        <w:rPr>
          <w:rFonts w:ascii="Lidl Font Pro" w:hAnsi="Lidl Font Pro"/>
          <w:b/>
          <w:bCs/>
          <w:color w:val="000000" w:themeColor="text1"/>
          <w:lang w:val="el-GR"/>
        </w:rPr>
        <w:t>κατηγορία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 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="001E4C8F" w:rsidRPr="001E4C8F">
        <w:rPr>
          <w:rFonts w:ascii="Lidl Font Pro" w:hAnsi="Lidl Font Pro"/>
          <w:b/>
          <w:bCs/>
          <w:color w:val="000000" w:themeColor="text1"/>
          <w:lang w:val="el-GR"/>
        </w:rPr>
        <w:t>Πρότυπο Κατάστημα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, επιβεβαιώνοντας την υψηλή ποιότητα και την ποικιλία των προϊόντων που προσφέρει η </w:t>
      </w:r>
      <w:r w:rsidR="001E4C8F" w:rsidRPr="001E4C8F">
        <w:rPr>
          <w:rFonts w:ascii="Lidl Font Pro" w:hAnsi="Lidl Font Pro"/>
          <w:color w:val="000000" w:themeColor="text1"/>
        </w:rPr>
        <w:t>Lidl</w:t>
      </w:r>
      <w:r w:rsidR="001E4C8F" w:rsidRPr="001E4C8F">
        <w:rPr>
          <w:rFonts w:ascii="Lidl Font Pro" w:hAnsi="Lidl Font Pro"/>
          <w:color w:val="000000" w:themeColor="text1"/>
          <w:lang w:val="el-GR"/>
        </w:rPr>
        <w:t xml:space="preserve"> Ελλάς καθημερινά στους καταναλωτές της.</w:t>
      </w:r>
    </w:p>
    <w:p w14:paraId="6EBBBF8F" w14:textId="515CE782" w:rsidR="0099312A" w:rsidRPr="00C14E9C" w:rsidRDefault="0099312A" w:rsidP="00A244F2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14E9C">
        <w:rPr>
          <w:rFonts w:ascii="Lidl Font Pro" w:hAnsi="Lidl Font Pro"/>
          <w:b/>
          <w:bCs/>
          <w:color w:val="000000" w:themeColor="text1"/>
          <w:lang w:val="en-US"/>
        </w:rPr>
        <w:t>Pioneering</w:t>
      </w:r>
      <w:r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14E9C">
        <w:rPr>
          <w:rFonts w:ascii="Lidl Font Pro" w:hAnsi="Lidl Font Pro"/>
          <w:b/>
          <w:bCs/>
          <w:color w:val="000000" w:themeColor="text1"/>
          <w:lang w:val="en-US"/>
        </w:rPr>
        <w:t>Marketing</w:t>
      </w:r>
      <w:r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14E9C">
        <w:rPr>
          <w:rFonts w:ascii="Lidl Font Pro" w:hAnsi="Lidl Font Pro"/>
          <w:b/>
          <w:bCs/>
          <w:color w:val="000000" w:themeColor="text1"/>
          <w:lang w:val="en-US"/>
        </w:rPr>
        <w:t>Intelligence</w:t>
      </w:r>
      <w:r w:rsidRPr="00936A0E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Το πρωτοποριακό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Media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Mix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Modeling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936A0E" w:rsidRPr="00936A0E">
        <w:rPr>
          <w:rFonts w:ascii="Lidl Font Pro" w:hAnsi="Lidl Font Pro"/>
          <w:color w:val="000000" w:themeColor="text1"/>
        </w:rPr>
        <w:t>Lidl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 Ελλάς διακρίθηκε στην κατηγορία 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Big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Data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Marketing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936A0E" w:rsidRPr="00936A0E">
        <w:rPr>
          <w:rFonts w:ascii="Lidl Font Pro" w:hAnsi="Lidl Font Pro"/>
          <w:b/>
          <w:bCs/>
          <w:color w:val="000000" w:themeColor="text1"/>
        </w:rPr>
        <w:t>Analytics</w:t>
      </w:r>
      <w:r w:rsidR="00936A0E" w:rsidRPr="00936A0E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936A0E" w:rsidRPr="00936A0E">
        <w:rPr>
          <w:rFonts w:ascii="Lidl Font Pro" w:hAnsi="Lidl Font Pro"/>
          <w:color w:val="000000" w:themeColor="text1"/>
          <w:lang w:val="el-GR"/>
        </w:rPr>
        <w:t xml:space="preserve">, επιβεβαιώνοντας τη δέσμευση της εταιρείας να καινοτομεί και να θέτει νέα πρότυπα στον </w:t>
      </w:r>
      <w:r w:rsidR="00936A0E">
        <w:rPr>
          <w:rFonts w:ascii="Lidl Font Pro" w:hAnsi="Lidl Font Pro"/>
          <w:color w:val="000000" w:themeColor="text1"/>
          <w:lang w:val="el-GR"/>
        </w:rPr>
        <w:t>κλάδο</w:t>
      </w:r>
      <w:r w:rsidR="00936A0E" w:rsidRPr="00936A0E">
        <w:rPr>
          <w:rFonts w:ascii="Lidl Font Pro" w:hAnsi="Lidl Font Pro"/>
          <w:color w:val="000000" w:themeColor="text1"/>
          <w:lang w:val="el-GR"/>
        </w:rPr>
        <w:t>.</w:t>
      </w:r>
    </w:p>
    <w:p w14:paraId="594E17BB" w14:textId="69F7B58B" w:rsidR="0099312A" w:rsidRPr="00C14E9C" w:rsidRDefault="0099312A" w:rsidP="00C14E9C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proofErr w:type="spellStart"/>
      <w:r w:rsidRPr="0088129F">
        <w:rPr>
          <w:rFonts w:ascii="Lidl Font Pro" w:hAnsi="Lidl Font Pro"/>
          <w:b/>
          <w:bCs/>
          <w:color w:val="000000" w:themeColor="text1"/>
          <w:lang w:val="el-GR"/>
        </w:rPr>
        <w:t>Socioeconomic</w:t>
      </w:r>
      <w:proofErr w:type="spellEnd"/>
      <w:r w:rsidRPr="0088129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8129F">
        <w:rPr>
          <w:rFonts w:ascii="Lidl Font Pro" w:hAnsi="Lidl Font Pro"/>
          <w:b/>
          <w:bCs/>
          <w:color w:val="000000" w:themeColor="text1"/>
          <w:lang w:val="el-GR"/>
        </w:rPr>
        <w:t>Impact</w:t>
      </w:r>
      <w:proofErr w:type="spellEnd"/>
      <w:r w:rsidRPr="0088129F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88129F">
        <w:rPr>
          <w:rFonts w:ascii="Lidl Font Pro" w:hAnsi="Lidl Font Pro"/>
          <w:b/>
          <w:bCs/>
          <w:color w:val="000000" w:themeColor="text1"/>
          <w:lang w:val="el-GR"/>
        </w:rPr>
        <w:t>Report</w:t>
      </w:r>
      <w:proofErr w:type="spellEnd"/>
      <w:r w:rsidRPr="0088129F">
        <w:rPr>
          <w:rFonts w:ascii="Lidl Font Pro" w:hAnsi="Lidl Font Pro"/>
          <w:b/>
          <w:bCs/>
          <w:color w:val="000000" w:themeColor="text1"/>
          <w:lang w:val="el-GR"/>
        </w:rPr>
        <w:t xml:space="preserve"> 2023</w:t>
      </w:r>
      <w:r w:rsidR="0088129F" w:rsidRPr="0088129F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="0088129F" w:rsidRPr="0088129F">
        <w:rPr>
          <w:rFonts w:ascii="Lidl Font Pro" w:hAnsi="Lidl Font Pro"/>
          <w:color w:val="000000" w:themeColor="text1"/>
          <w:lang w:val="el-GR"/>
        </w:rPr>
        <w:t xml:space="preserve"> 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Η 9η έκθεση κοινωνικοοικονομικού αποτυπώματος της </w:t>
      </w:r>
      <w:r w:rsidR="00C14E9C" w:rsidRPr="00C14E9C">
        <w:rPr>
          <w:rFonts w:ascii="Lidl Font Pro" w:hAnsi="Lidl Font Pro"/>
          <w:color w:val="000000" w:themeColor="text1"/>
        </w:rPr>
        <w:t>Lidl</w:t>
      </w:r>
      <w:r w:rsidR="00C14E9C" w:rsidRPr="00C14E9C">
        <w:rPr>
          <w:rFonts w:ascii="Lidl Font Pro" w:hAnsi="Lidl Font Pro"/>
          <w:color w:val="000000" w:themeColor="text1"/>
          <w:lang w:val="el-GR"/>
        </w:rPr>
        <w:t xml:space="preserve"> Ελλάς τιμήθηκε στην </w:t>
      </w:r>
      <w:r w:rsidR="00C14E9C" w:rsidRPr="00C14E9C">
        <w:rPr>
          <w:rFonts w:ascii="Lidl Font Pro" w:hAnsi="Lidl Font Pro"/>
          <w:b/>
          <w:bCs/>
          <w:color w:val="000000" w:themeColor="text1"/>
          <w:lang w:val="el-GR"/>
        </w:rPr>
        <w:t>κατηγορία «Συμβολή στην Εθνική Οικονομία»</w:t>
      </w:r>
      <w:r w:rsidR="00C14E9C" w:rsidRPr="00C14E9C">
        <w:rPr>
          <w:rFonts w:ascii="Lidl Font Pro" w:hAnsi="Lidl Font Pro"/>
          <w:color w:val="000000" w:themeColor="text1"/>
          <w:lang w:val="el-GR"/>
        </w:rPr>
        <w:t>. Μέσα από τη μελέτη, η εταιρεία αποτυπώνει την άμεση και έμμεση επίδρασή της στην οικονομία και την απασχόληση, με σημείο αναφοράς τους Στόχους Βιώσιμης Ανάπτυξης του ΟΗΕ.</w:t>
      </w:r>
    </w:p>
    <w:p w14:paraId="5C07EEFD" w14:textId="2C26D969" w:rsidR="0099312A" w:rsidRPr="001E4C8F" w:rsidRDefault="0099312A" w:rsidP="0099312A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C14E9C">
        <w:rPr>
          <w:rFonts w:ascii="Lidl Font Pro" w:hAnsi="Lidl Font Pro"/>
          <w:b/>
          <w:bCs/>
          <w:color w:val="000000" w:themeColor="text1"/>
          <w:lang w:val="el-GR"/>
        </w:rPr>
        <w:t>Η χρήση της τεχνολογίας ως συγκριτικό πλεονέκτημα στη δημιουργία πιστών πελατών</w:t>
      </w:r>
      <w:r w:rsidR="0088129F" w:rsidRPr="00C14E9C">
        <w:rPr>
          <w:rFonts w:ascii="Lidl Font Pro" w:hAnsi="Lidl Font Pro"/>
          <w:b/>
          <w:bCs/>
          <w:color w:val="000000" w:themeColor="text1"/>
          <w:lang w:val="el-GR"/>
        </w:rPr>
        <w:t>:</w:t>
      </w:r>
      <w:r w:rsidR="0088129F" w:rsidRPr="0088129F">
        <w:rPr>
          <w:rFonts w:ascii="Lidl Font Pro" w:hAnsi="Lidl Font Pro"/>
          <w:color w:val="000000" w:themeColor="text1"/>
          <w:lang w:val="el-GR"/>
        </w:rPr>
        <w:t xml:space="preserve"> Η καινοτόμος αξιοποίηση της τεχνολογίας για την ενίσχυση της σχέσης εμπιστοσύνης με τους πελάτες βραβεύτηκε στην </w:t>
      </w:r>
      <w:r w:rsidR="0088129F" w:rsidRPr="0088129F">
        <w:rPr>
          <w:rFonts w:ascii="Lidl Font Pro" w:hAnsi="Lidl Font Pro"/>
          <w:b/>
          <w:bCs/>
          <w:color w:val="000000" w:themeColor="text1"/>
          <w:lang w:val="el-GR"/>
        </w:rPr>
        <w:t>κατηγορία</w:t>
      </w:r>
      <w:r w:rsidR="0088129F" w:rsidRPr="0088129F">
        <w:rPr>
          <w:rFonts w:ascii="Lidl Font Pro" w:hAnsi="Lidl Font Pro"/>
          <w:color w:val="000000" w:themeColor="text1"/>
          <w:lang w:val="el-GR"/>
        </w:rPr>
        <w:t xml:space="preserve"> 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«</w:t>
      </w:r>
      <w:r w:rsidR="0088129F" w:rsidRPr="0088129F">
        <w:rPr>
          <w:rFonts w:ascii="Lidl Font Pro" w:hAnsi="Lidl Font Pro"/>
          <w:b/>
          <w:bCs/>
          <w:color w:val="000000" w:themeColor="text1"/>
          <w:lang w:val="el-GR"/>
        </w:rPr>
        <w:t>Τεχνολογίες, Συστήματα ή Τεχνικές Διοίκησης</w:t>
      </w:r>
      <w:r w:rsidR="00936A0E">
        <w:rPr>
          <w:rFonts w:ascii="Lidl Font Pro" w:hAnsi="Lidl Font Pro"/>
          <w:b/>
          <w:bCs/>
          <w:color w:val="000000" w:themeColor="text1"/>
          <w:lang w:val="el-GR"/>
        </w:rPr>
        <w:t>»</w:t>
      </w:r>
      <w:r w:rsidR="0088129F" w:rsidRPr="0088129F">
        <w:rPr>
          <w:rFonts w:ascii="Lidl Font Pro" w:hAnsi="Lidl Font Pro"/>
          <w:color w:val="000000" w:themeColor="text1"/>
          <w:lang w:val="el-GR"/>
        </w:rPr>
        <w:t xml:space="preserve">. Η </w:t>
      </w:r>
      <w:r w:rsidR="0088129F" w:rsidRPr="0088129F">
        <w:rPr>
          <w:rFonts w:ascii="Lidl Font Pro" w:hAnsi="Lidl Font Pro"/>
          <w:color w:val="000000" w:themeColor="text1"/>
        </w:rPr>
        <w:t>Lidl</w:t>
      </w:r>
      <w:r w:rsidR="0088129F" w:rsidRPr="0088129F">
        <w:rPr>
          <w:rFonts w:ascii="Lidl Font Pro" w:hAnsi="Lidl Font Pro"/>
          <w:color w:val="000000" w:themeColor="text1"/>
          <w:lang w:val="el-GR"/>
        </w:rPr>
        <w:t xml:space="preserve"> Ελλάς προσφέρει εξατομικευμένες εμπειρίες και προγράμματα επιβράβευσης που ανταποκρίνονται στις σύγχρονες ανάγκες των καταναλωτών</w:t>
      </w:r>
      <w:r w:rsidRPr="001E4C8F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0540DCE6" w:rsidR="0049075C" w:rsidRPr="001E4C8F" w:rsidRDefault="0099312A" w:rsidP="00E842D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9312A">
        <w:rPr>
          <w:rFonts w:ascii="Lidl Font Pro" w:hAnsi="Lidl Font Pro"/>
          <w:color w:val="000000" w:themeColor="text1"/>
          <w:lang w:val="el-GR"/>
        </w:rPr>
        <w:t xml:space="preserve">Η </w:t>
      </w:r>
      <w:r w:rsidRPr="0088129F">
        <w:rPr>
          <w:rFonts w:ascii="Lidl Font Pro" w:hAnsi="Lidl Font Pro"/>
          <w:b/>
          <w:bCs/>
          <w:color w:val="000000" w:themeColor="text1"/>
        </w:rPr>
        <w:t>Lidl</w:t>
      </w:r>
      <w:r w:rsidRPr="0088129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9312A">
        <w:rPr>
          <w:rFonts w:ascii="Lidl Font Pro" w:hAnsi="Lidl Font Pro"/>
          <w:color w:val="000000" w:themeColor="text1"/>
          <w:lang w:val="el-GR"/>
        </w:rPr>
        <w:t xml:space="preserve"> συνεχίζει να ηγείται με όραμα, υπευθυνότητα και καινοτομία, προσφέροντας κορυφαίες λύσεις στους πελάτες της και ενισχύοντας την κοινωνική και περιβαλλοντική πρόοδο</w:t>
      </w:r>
      <w:r w:rsidR="007F1AFE">
        <w:rPr>
          <w:rFonts w:ascii="Lidl Font Pro" w:hAnsi="Lidl Font Pro"/>
          <w:color w:val="000000" w:themeColor="text1"/>
          <w:lang w:val="el-GR"/>
        </w:rPr>
        <w:t>.</w:t>
      </w: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lastRenderedPageBreak/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7F1AF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7F1AF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7F1AF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7F1AFE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1E4C8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1E4C8F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1E4C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1E4C8F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51F7924"/>
    <w:multiLevelType w:val="hybridMultilevel"/>
    <w:tmpl w:val="3DD44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2C7E"/>
    <w:multiLevelType w:val="hybridMultilevel"/>
    <w:tmpl w:val="52D4DE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A1905"/>
    <w:multiLevelType w:val="hybridMultilevel"/>
    <w:tmpl w:val="29CCDA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6"/>
  </w:num>
  <w:num w:numId="2" w16cid:durableId="1724518041">
    <w:abstractNumId w:val="5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4"/>
  </w:num>
  <w:num w:numId="5" w16cid:durableId="1253122259">
    <w:abstractNumId w:val="3"/>
  </w:num>
  <w:num w:numId="6" w16cid:durableId="1016729240">
    <w:abstractNumId w:val="1"/>
  </w:num>
  <w:num w:numId="7" w16cid:durableId="1213467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4C8F"/>
    <w:rsid w:val="001E5AEF"/>
    <w:rsid w:val="001E6DBB"/>
    <w:rsid w:val="001F13C9"/>
    <w:rsid w:val="002016AE"/>
    <w:rsid w:val="00201C85"/>
    <w:rsid w:val="00207F78"/>
    <w:rsid w:val="00217155"/>
    <w:rsid w:val="0022371D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3226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7A1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3FB7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610"/>
    <w:rsid w:val="007D07C9"/>
    <w:rsid w:val="007E087A"/>
    <w:rsid w:val="007E4BED"/>
    <w:rsid w:val="007E66B3"/>
    <w:rsid w:val="007F161B"/>
    <w:rsid w:val="007F1AFE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129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6A0E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312A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1BAB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4E9C"/>
    <w:rsid w:val="00C14F48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931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customStyle="1" w:styleId="3Char">
    <w:name w:val="Επικεφαλίδα 3 Char"/>
    <w:basedOn w:val="a0"/>
    <w:link w:val="3"/>
    <w:uiPriority w:val="9"/>
    <w:semiHidden/>
    <w:rsid w:val="009931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3413</Characters>
  <Application>Microsoft Office Word</Application>
  <DocSecurity>0</DocSecurity>
  <Lines>28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4</cp:revision>
  <cp:lastPrinted>2017-09-18T08:53:00Z</cp:lastPrinted>
  <dcterms:created xsi:type="dcterms:W3CDTF">2025-10-14T11:42:00Z</dcterms:created>
  <dcterms:modified xsi:type="dcterms:W3CDTF">2025-10-17T07:32:00Z</dcterms:modified>
</cp:coreProperties>
</file>